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《关于申报柳州市人才学历提升奖励的通知（试行）》政策解读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为深入贯彻落实《柳州市进一步加强新时代人才集聚更大力度推动产业高质量发展的若干措施》（柳发〔2022〕7号，以下简称《若干措施》），做好</w:t>
      </w:r>
      <w:r>
        <w:rPr>
          <w:rFonts w:hint="eastAsia" w:ascii="Times New Roman" w:hAnsi="Times New Roman" w:eastAsia="仿宋_GB2312" w:cs="仿宋_GB2312"/>
          <w:sz w:val="32"/>
          <w:szCs w:val="32"/>
          <w:lang w:eastAsia="zh-CN"/>
        </w:rPr>
        <w:t>柳州市人才学历提升奖励申报工作，现对《关于申报柳州市人才学历提升奖励的通知（试行）》（以下简称《通知》）的有关规定解释如下：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一、学历提升奖励的奖励范围是什么？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全职在以下单位工作的人才，符合条件的可以申请学历提升奖励：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）柳州市本级、五城区及柳东新区、阳和工业新区（北部生态新区）的企事业单位（不含参照公务员法管理的事业单位）；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）广西科技大学、上汽通用五菱公司、柳工集团、柳钢集团、东风柳汽、广西汽车集团、鱼峰集团，以及上述单位在柳登记注册和参加社会保险的下属子公司。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二、学历提升奖励的条件是什么？</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申请学历提升奖励的人才需满足以下条件：</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在奖励范围内的企事业单位全职工作并在柳参加社会保险的优秀人才，在职期间攻读硕士或博士研究生，于2022年4月28日（含28日）之后取得学位并在柳继续工作满3年。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三、学历提升奖励的标准是什么？</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仿宋_GB2312" w:cs="仿宋_GB2312"/>
          <w:color w:val="auto"/>
          <w:sz w:val="32"/>
          <w:szCs w:val="32"/>
          <w:u w:val="none"/>
          <w:lang w:val="en-US" w:eastAsia="zh-CN"/>
        </w:rPr>
        <w:t>按照</w:t>
      </w:r>
      <w:r>
        <w:rPr>
          <w:rFonts w:hint="eastAsia" w:ascii="Times New Roman" w:hAnsi="Times New Roman" w:eastAsia="仿宋_GB2312" w:cs="仿宋_GB2312"/>
          <w:b w:val="0"/>
          <w:bCs w:val="0"/>
          <w:color w:val="auto"/>
          <w:spacing w:val="0"/>
          <w:kern w:val="2"/>
          <w:sz w:val="32"/>
          <w:szCs w:val="32"/>
          <w:highlight w:val="none"/>
          <w:u w:val="none"/>
          <w:lang w:val="en-US" w:eastAsia="zh-CN"/>
        </w:rPr>
        <w:t>博士6万元、硕士</w:t>
      </w:r>
      <w:r>
        <w:rPr>
          <w:rFonts w:hint="eastAsia" w:ascii="Times New Roman" w:hAnsi="Times New Roman" w:eastAsia="仿宋_GB2312" w:cs="仿宋_GB2312"/>
          <w:color w:val="auto"/>
          <w:spacing w:val="0"/>
          <w:kern w:val="2"/>
          <w:sz w:val="32"/>
          <w:szCs w:val="32"/>
          <w:lang w:val="en-US" w:eastAsia="zh-CN"/>
        </w:rPr>
        <w:t>2万元给予一次性奖励。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四、学历提升奖励如何办理？办理程序是什么？</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办理方式：学历提升奖励申请采取线上办理的方式进行，申请人需事先在手机上安装“龙城市民云APP”，注册并实名认证后登录智慧人才服务平台办理。</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办理程序：申请人在智慧人才服务平台上提出申请，经用人单位初审并公示后报主管部门（城区）审核；主管部门（城区）审核通过后提交至市人才中心复核。人才中心复核后，符合条件的予以公示。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五、申请学历提升奖励需要什么材料？</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仿宋_GB2312" w:cs="仿宋_GB2312"/>
          <w:color w:val="auto"/>
          <w:spacing w:val="0"/>
          <w:kern w:val="2"/>
          <w:sz w:val="32"/>
          <w:szCs w:val="32"/>
          <w:lang w:val="en-US" w:eastAsia="zh-CN"/>
        </w:rPr>
        <w:t>（一）申请人的有效身份证件，如身份证、护照（外国人才提供）或通行证（港澳台户籍人才提供）；</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仿宋_GB2312" w:cs="仿宋_GB2312"/>
          <w:color w:val="auto"/>
          <w:spacing w:val="0"/>
          <w:kern w:val="2"/>
          <w:sz w:val="32"/>
          <w:szCs w:val="32"/>
          <w:lang w:val="en-US" w:eastAsia="zh-CN"/>
        </w:rPr>
        <w:t>（二）申请人毕业证、学位证、教育部学历证书电子注册备案表。最高学位（学历）证书在国外获得的外国人才，其学位（学历）应经我驻外使、领馆或由申请人获得学位（学历）所在国驻华使、领馆或我国学历认证机构认证；</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仿宋_GB2312" w:cs="仿宋_GB2312"/>
          <w:color w:val="auto"/>
          <w:spacing w:val="0"/>
          <w:kern w:val="2"/>
          <w:sz w:val="32"/>
          <w:szCs w:val="32"/>
          <w:lang w:val="en-US" w:eastAsia="zh-CN"/>
        </w:rPr>
        <w:t>（三）社会保险参保缴费证明（入学年份至取得学位后三年期间的缴费证明）。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六、什么时间可以申请学历提升奖励？</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color w:val="auto"/>
          <w:sz w:val="32"/>
          <w:szCs w:val="32"/>
          <w:u w:val="none"/>
          <w:lang w:val="en-US" w:eastAsia="zh-CN"/>
        </w:rPr>
      </w:pPr>
      <w:r>
        <w:rPr>
          <w:rFonts w:hint="eastAsia" w:ascii="Times New Roman" w:hAnsi="Times New Roman" w:eastAsia="仿宋_GB2312" w:cs="仿宋_GB2312"/>
          <w:color w:val="auto"/>
          <w:sz w:val="32"/>
          <w:szCs w:val="32"/>
          <w:u w:val="none"/>
          <w:lang w:val="en-US" w:eastAsia="zh-CN"/>
        </w:rPr>
        <w:t>学历提升奖励申报常年受理，按季度审批。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七、学历提升奖励怎么发放？</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color w:val="auto"/>
          <w:kern w:val="2"/>
          <w:sz w:val="32"/>
          <w:szCs w:val="32"/>
          <w:highlight w:val="none"/>
          <w:u w:val="none"/>
          <w:lang w:val="en-US" w:eastAsia="zh-CN" w:bidi="ar-SA"/>
        </w:rPr>
      </w:pPr>
      <w:r>
        <w:rPr>
          <w:rFonts w:hint="eastAsia" w:ascii="Times New Roman" w:hAnsi="Times New Roman" w:eastAsia="仿宋_GB2312" w:cs="仿宋_GB2312"/>
          <w:b w:val="0"/>
          <w:bCs/>
          <w:color w:val="auto"/>
          <w:kern w:val="2"/>
          <w:sz w:val="32"/>
          <w:szCs w:val="32"/>
          <w:highlight w:val="none"/>
          <w:u w:val="none"/>
          <w:lang w:val="en-US" w:eastAsia="zh-CN" w:bidi="ar-SA"/>
        </w:rPr>
        <w:t>审核结果经公示无异议后，由市人才中心按申报途径将资金拨付到对应审核部门；各审核部门将资金拨付至用人单位；用人单位将资金拨付至申请人账户。各审核部门、用人单位应在拨付资金后20个工作日内将资金拨付凭证上传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八、发放至个人账户的奖励金额是税后还是税前？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6" w:firstLineChars="200"/>
        <w:textAlignment w:val="auto"/>
        <w:rPr>
          <w:rFonts w:hint="eastAsia" w:ascii="Times New Roman" w:hAnsi="Times New Roman" w:eastAsia="仿宋_GB2312" w:cs="仿宋_GB2312"/>
          <w:color w:val="auto"/>
          <w:spacing w:val="4"/>
          <w:kern w:val="0"/>
          <w:sz w:val="32"/>
          <w:szCs w:val="32"/>
          <w:highlight w:val="none"/>
          <w:u w:val="none"/>
          <w:lang w:val="en-US" w:eastAsia="zh-CN"/>
        </w:rPr>
      </w:pPr>
      <w:r>
        <w:rPr>
          <w:rFonts w:hint="eastAsia" w:ascii="Times New Roman" w:hAnsi="Times New Roman" w:eastAsia="仿宋_GB2312" w:cs="仿宋_GB2312"/>
          <w:color w:val="auto"/>
          <w:spacing w:val="4"/>
          <w:kern w:val="0"/>
          <w:sz w:val="32"/>
          <w:szCs w:val="32"/>
          <w:highlight w:val="none"/>
          <w:u w:val="none"/>
        </w:rPr>
        <w:t>给予个人的奖励为税后所得。</w:t>
      </w:r>
      <w:r>
        <w:rPr>
          <w:rFonts w:hint="eastAsia" w:ascii="Times New Roman" w:hAnsi="Times New Roman" w:eastAsia="仿宋_GB2312" w:cs="仿宋_GB2312"/>
          <w:color w:val="auto"/>
          <w:sz w:val="32"/>
          <w:szCs w:val="32"/>
          <w:highlight w:val="none"/>
          <w:u w:val="none"/>
          <w:lang w:val="en-US" w:eastAsia="zh-CN"/>
        </w:rPr>
        <w:t>市人才中心</w:t>
      </w:r>
      <w:r>
        <w:rPr>
          <w:rFonts w:hint="eastAsia" w:ascii="Times New Roman" w:hAnsi="Times New Roman" w:eastAsia="仿宋_GB2312" w:cs="仿宋_GB2312"/>
          <w:color w:val="auto"/>
          <w:spacing w:val="4"/>
          <w:kern w:val="0"/>
          <w:sz w:val="32"/>
          <w:szCs w:val="32"/>
          <w:highlight w:val="none"/>
          <w:u w:val="none"/>
        </w:rPr>
        <w:t>将奖励资金和</w:t>
      </w:r>
      <w:r>
        <w:rPr>
          <w:rFonts w:hint="eastAsia" w:ascii="Times New Roman" w:hAnsi="Times New Roman" w:eastAsia="仿宋_GB2312" w:cs="仿宋_GB2312"/>
          <w:color w:val="auto"/>
          <w:spacing w:val="4"/>
          <w:kern w:val="0"/>
          <w:sz w:val="32"/>
          <w:szCs w:val="32"/>
          <w:highlight w:val="none"/>
          <w:u w:val="none"/>
          <w:lang w:eastAsia="zh-CN"/>
        </w:rPr>
        <w:t>补贴</w:t>
      </w:r>
      <w:r>
        <w:rPr>
          <w:rFonts w:hint="eastAsia" w:ascii="Times New Roman" w:hAnsi="Times New Roman" w:eastAsia="仿宋_GB2312" w:cs="仿宋_GB2312"/>
          <w:color w:val="auto"/>
          <w:spacing w:val="4"/>
          <w:kern w:val="0"/>
          <w:sz w:val="32"/>
          <w:szCs w:val="32"/>
          <w:highlight w:val="none"/>
          <w:u w:val="none"/>
        </w:rPr>
        <w:t>税款一并逐级拨付</w:t>
      </w:r>
      <w:r>
        <w:rPr>
          <w:rFonts w:hint="eastAsia" w:ascii="Times New Roman" w:hAnsi="Times New Roman" w:eastAsia="仿宋_GB2312" w:cs="仿宋_GB2312"/>
          <w:color w:val="auto"/>
          <w:spacing w:val="4"/>
          <w:kern w:val="0"/>
          <w:sz w:val="32"/>
          <w:szCs w:val="32"/>
          <w:highlight w:val="none"/>
          <w:u w:val="none"/>
          <w:lang w:eastAsia="zh-CN"/>
        </w:rPr>
        <w:t>至</w:t>
      </w:r>
      <w:r>
        <w:rPr>
          <w:rFonts w:hint="eastAsia" w:ascii="Times New Roman" w:hAnsi="Times New Roman" w:eastAsia="仿宋_GB2312" w:cs="仿宋_GB2312"/>
          <w:color w:val="auto"/>
          <w:spacing w:val="4"/>
          <w:kern w:val="0"/>
          <w:sz w:val="32"/>
          <w:szCs w:val="32"/>
          <w:highlight w:val="none"/>
          <w:u w:val="none"/>
        </w:rPr>
        <w:t>用人单位，用人单位收到资金后，应按审批结果及时将奖励发放给申请人，并按</w:t>
      </w:r>
      <w:r>
        <w:rPr>
          <w:rFonts w:hint="eastAsia" w:ascii="Times New Roman" w:hAnsi="Times New Roman" w:eastAsia="仿宋_GB2312" w:cs="仿宋_GB2312"/>
          <w:color w:val="auto"/>
          <w:spacing w:val="4"/>
          <w:kern w:val="0"/>
          <w:sz w:val="32"/>
          <w:szCs w:val="32"/>
          <w:highlight w:val="none"/>
          <w:u w:val="none"/>
          <w:lang w:eastAsia="zh-CN"/>
        </w:rPr>
        <w:t>奖励</w:t>
      </w:r>
      <w:r>
        <w:rPr>
          <w:rFonts w:hint="eastAsia" w:ascii="Times New Roman" w:hAnsi="Times New Roman" w:eastAsia="仿宋_GB2312" w:cs="仿宋_GB2312"/>
          <w:color w:val="auto"/>
          <w:spacing w:val="4"/>
          <w:kern w:val="0"/>
          <w:sz w:val="32"/>
          <w:szCs w:val="32"/>
          <w:highlight w:val="none"/>
          <w:u w:val="none"/>
        </w:rPr>
        <w:t>金额与</w:t>
      </w:r>
      <w:r>
        <w:rPr>
          <w:rFonts w:hint="eastAsia" w:ascii="Times New Roman" w:hAnsi="Times New Roman" w:eastAsia="仿宋_GB2312" w:cs="仿宋_GB2312"/>
          <w:color w:val="auto"/>
          <w:spacing w:val="4"/>
          <w:kern w:val="0"/>
          <w:sz w:val="32"/>
          <w:szCs w:val="32"/>
          <w:highlight w:val="none"/>
          <w:u w:val="none"/>
          <w:lang w:eastAsia="zh-CN"/>
        </w:rPr>
        <w:t>补贴</w:t>
      </w:r>
      <w:bookmarkStart w:id="0" w:name="_GoBack"/>
      <w:bookmarkEnd w:id="0"/>
      <w:r>
        <w:rPr>
          <w:rFonts w:hint="eastAsia" w:ascii="Times New Roman" w:hAnsi="Times New Roman" w:eastAsia="仿宋_GB2312" w:cs="仿宋_GB2312"/>
          <w:color w:val="auto"/>
          <w:spacing w:val="4"/>
          <w:kern w:val="0"/>
          <w:sz w:val="32"/>
          <w:szCs w:val="32"/>
          <w:highlight w:val="none"/>
          <w:u w:val="none"/>
        </w:rPr>
        <w:t>税额之和的偶然所得税纳税率履行代扣个人所得税职责。</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仿宋_GB2312" w:cs="仿宋_GB2312"/>
          <w:b w:val="0"/>
          <w:bCs/>
          <w:color w:val="auto"/>
          <w:kern w:val="2"/>
          <w:sz w:val="32"/>
          <w:szCs w:val="32"/>
          <w:highlight w:val="none"/>
          <w:u w:val="none"/>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wM2ExZjI1MDdhNTVmNjc5NWYzYTUxN2QwODllMWYifQ=="/>
  </w:docVars>
  <w:rsids>
    <w:rsidRoot w:val="00000000"/>
    <w:rsid w:val="1B551BA7"/>
    <w:rsid w:val="22983E2A"/>
    <w:rsid w:val="38A413AE"/>
    <w:rsid w:val="7EF1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cs="宋体"/>
      <w:szCs w:val="28"/>
    </w:rPr>
  </w:style>
  <w:style w:type="paragraph" w:styleId="3">
    <w:name w:val="Body Text"/>
    <w:basedOn w:val="1"/>
    <w:qFormat/>
    <w:uiPriority w:val="0"/>
    <w:pPr>
      <w:spacing w:line="660" w:lineRule="exact"/>
      <w:jc w:val="center"/>
    </w:pPr>
    <w:rPr>
      <w:rFonts w:ascii="方正小标宋_GBK" w:hAnsi="黑体" w:eastAsia="方正小标宋_GBK"/>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1123</Words>
  <Characters>1134</Characters>
  <Lines>0</Lines>
  <Paragraphs>0</Paragraphs>
  <TotalTime>1</TotalTime>
  <ScaleCrop>false</ScaleCrop>
  <LinksUpToDate>false</LinksUpToDate>
  <CharactersWithSpaces>1134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yhm</dc:creator>
  <cp:lastModifiedBy>yhm</cp:lastModifiedBy>
  <dcterms:modified xsi:type="dcterms:W3CDTF">2022-12-22T01:51:51Z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72D593FD8382445BBE9A0179039ACAE5</vt:lpwstr>
  </property>
</Properties>
</file>