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hAnsi="宋体" w:eastAsia="仿宋_GB2312" w:cs="宋体"/>
          <w:bCs/>
          <w:lang w:val="en-US" w:eastAsia="zh-CN"/>
        </w:rPr>
      </w:pPr>
      <w:r>
        <w:rPr>
          <w:rFonts w:hint="eastAsia" w:hAnsi="宋体" w:cs="宋体"/>
          <w:bCs/>
        </w:rPr>
        <w:t>附件</w:t>
      </w:r>
      <w:r>
        <w:rPr>
          <w:rFonts w:hint="eastAsia" w:hAnsi="宋体" w:cs="宋体"/>
          <w:bCs/>
          <w:lang w:val="en-US" w:eastAsia="zh-CN"/>
        </w:rPr>
        <w:t>2：</w:t>
      </w:r>
      <w:bookmarkStart w:id="0" w:name="_GoBack"/>
      <w:bookmarkEnd w:id="0"/>
    </w:p>
    <w:p>
      <w:pPr>
        <w:spacing w:line="600" w:lineRule="exact"/>
        <w:jc w:val="center"/>
        <w:rPr>
          <w:rFonts w:hint="eastAsia" w:ascii="黑体" w:hAnsi="宋体" w:eastAsia="黑体" w:cs="宋体"/>
          <w:bCs/>
          <w:sz w:val="36"/>
          <w:szCs w:val="36"/>
        </w:rPr>
      </w:pP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广西壮族自治区工程系列助理工程师</w:t>
      </w: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专业技术资格评审条件</w:t>
      </w:r>
    </w:p>
    <w:p>
      <w:pPr>
        <w:spacing w:line="600" w:lineRule="exact"/>
        <w:jc w:val="center"/>
        <w:rPr>
          <w:rFonts w:hint="eastAsia" w:hAnsi="仿宋" w:cs="仿宋"/>
          <w:bCs/>
        </w:rPr>
      </w:pPr>
      <w:r>
        <w:rPr>
          <w:rFonts w:hint="eastAsia" w:hAnsi="仿宋" w:cs="仿宋"/>
          <w:bCs/>
        </w:rPr>
        <w:t>(试行)</w:t>
      </w:r>
    </w:p>
    <w:p>
      <w:pPr>
        <w:spacing w:line="600" w:lineRule="exact"/>
        <w:rPr>
          <w:rFonts w:hint="eastAsia" w:hAnsi="仿宋" w:cs="Times New Roman"/>
        </w:rPr>
      </w:pPr>
    </w:p>
    <w:p>
      <w:pPr>
        <w:spacing w:line="600" w:lineRule="exact"/>
        <w:ind w:firstLine="615"/>
        <w:rPr>
          <w:rFonts w:hint="eastAsia" w:hAnsi="仿宋" w:cs="Times New Roman"/>
          <w:color w:val="000000"/>
        </w:rPr>
      </w:pPr>
      <w:r>
        <w:rPr>
          <w:rFonts w:hint="eastAsia" w:ascii="黑体" w:hAnsi="仿宋" w:eastAsia="黑体" w:cs="仿宋"/>
          <w:bCs/>
          <w:color w:val="000000"/>
        </w:rPr>
        <w:t>评定标准：</w:t>
      </w:r>
      <w:r>
        <w:rPr>
          <w:rFonts w:hint="eastAsia" w:hAnsi="仿宋" w:cs="仿宋"/>
          <w:color w:val="000000"/>
        </w:rPr>
        <w:t>助理工程师须具备良好的职业道德和敬业精神，严格遵守社会规范；基本掌握工程专业基础理论和专业技术知识以及工程专业的标准、规范、规程；能解决工程专业一般的技术问题；能在高、中级技术人员指导下，撰写本人所完成项目的论文、专业技术报告或总结。</w:t>
      </w:r>
    </w:p>
    <w:p>
      <w:pPr>
        <w:spacing w:line="600" w:lineRule="exact"/>
        <w:ind w:firstLine="612"/>
        <w:rPr>
          <w:rFonts w:hint="eastAsia" w:ascii="黑体" w:hAnsi="仿宋" w:eastAsia="黑体" w:cs="仿宋"/>
          <w:bCs/>
          <w:color w:val="000000"/>
        </w:rPr>
      </w:pPr>
      <w:r>
        <w:rPr>
          <w:rFonts w:hint="eastAsia" w:ascii="黑体" w:hAnsi="仿宋" w:eastAsia="黑体" w:cs="仿宋"/>
          <w:bCs/>
          <w:color w:val="000000"/>
        </w:rPr>
        <w:t>第一条  适用范围</w:t>
      </w:r>
    </w:p>
    <w:p>
      <w:pPr>
        <w:spacing w:line="600" w:lineRule="exact"/>
        <w:ind w:firstLine="615"/>
        <w:rPr>
          <w:rFonts w:hint="eastAsia" w:hAnsi="仿宋" w:cs="Times New Roman"/>
        </w:rPr>
      </w:pPr>
      <w:r>
        <w:rPr>
          <w:rFonts w:hint="eastAsia" w:hAnsi="仿宋" w:cs="仿宋"/>
        </w:rPr>
        <w:t>适用于在广西壮族自治区内企事业单位和社会组织中从事以下工作的在职在岗工程技术人员。</w:t>
      </w:r>
    </w:p>
    <w:p>
      <w:pPr>
        <w:spacing w:line="600" w:lineRule="exact"/>
        <w:ind w:firstLine="615"/>
        <w:rPr>
          <w:rFonts w:hint="eastAsia" w:hAnsi="仿宋" w:cs="Times New Roman"/>
        </w:rPr>
      </w:pPr>
      <w:r>
        <w:rPr>
          <w:rFonts w:hint="eastAsia" w:hAnsi="仿宋" w:cs="仿宋"/>
        </w:rPr>
        <w:t>一、工程技术和信息技术研究、规划、设计；</w:t>
      </w:r>
    </w:p>
    <w:p>
      <w:pPr>
        <w:spacing w:line="600" w:lineRule="exact"/>
        <w:ind w:firstLine="615"/>
        <w:rPr>
          <w:rFonts w:hint="eastAsia" w:hAnsi="仿宋" w:cs="Times New Roman"/>
        </w:rPr>
      </w:pPr>
      <w:r>
        <w:rPr>
          <w:rFonts w:hint="eastAsia" w:hAnsi="仿宋" w:cs="仿宋"/>
        </w:rPr>
        <w:t>二、工艺、生产、施工、维护、质量、监测、能源、安全及技术管理（含采购、销售等技术性服务）；</w:t>
      </w:r>
    </w:p>
    <w:p>
      <w:pPr>
        <w:spacing w:line="600" w:lineRule="exact"/>
        <w:ind w:firstLine="615"/>
        <w:rPr>
          <w:rFonts w:hint="eastAsia" w:hAnsi="仿宋" w:cs="仿宋"/>
        </w:rPr>
      </w:pPr>
      <w:r>
        <w:rPr>
          <w:rFonts w:hint="eastAsia" w:hAnsi="仿宋" w:cs="仿宋"/>
        </w:rPr>
        <w:t>三、计量及质量检测、特种设备检测、标准化及认证管理等;</w:t>
      </w:r>
    </w:p>
    <w:p>
      <w:pPr>
        <w:spacing w:line="600" w:lineRule="exact"/>
        <w:ind w:firstLine="615"/>
        <w:rPr>
          <w:rFonts w:hint="eastAsia" w:hAnsi="仿宋" w:cs="Times New Roman"/>
        </w:rPr>
      </w:pPr>
      <w:r>
        <w:rPr>
          <w:rFonts w:hint="eastAsia" w:hAnsi="仿宋" w:cs="仿宋"/>
        </w:rPr>
        <w:t>四、社会工程技术中介、咨询等技术服务类。</w:t>
      </w:r>
    </w:p>
    <w:p>
      <w:pPr>
        <w:spacing w:line="600" w:lineRule="exact"/>
        <w:ind w:firstLine="612"/>
        <w:rPr>
          <w:rFonts w:hint="eastAsia" w:ascii="黑体" w:hAnsi="仿宋" w:eastAsia="黑体" w:cs="仿宋"/>
          <w:bCs/>
          <w:color w:val="000000"/>
        </w:rPr>
      </w:pPr>
      <w:r>
        <w:rPr>
          <w:rFonts w:hint="eastAsia" w:ascii="黑体" w:hAnsi="仿宋" w:eastAsia="黑体" w:cs="仿宋"/>
          <w:bCs/>
          <w:color w:val="000000"/>
        </w:rPr>
        <w:t>第二条  思想政治条件</w:t>
      </w:r>
    </w:p>
    <w:p>
      <w:pPr>
        <w:spacing w:line="600" w:lineRule="exact"/>
        <w:ind w:firstLine="645"/>
        <w:rPr>
          <w:rFonts w:hint="eastAsia" w:hAnsi="仿宋" w:cs="Times New Roman"/>
        </w:rPr>
      </w:pPr>
      <w:r>
        <w:rPr>
          <w:rFonts w:hint="eastAsia" w:hAnsi="仿宋" w:cs="仿宋"/>
        </w:rPr>
        <w:t>热爱祖国，拥护党的领导，遵守法律法规，具有良好的职业道德和敬业精神，廉洁奉公，忠于职守，诚实守信，竭诚为社会主义现代化建设服务。</w:t>
      </w:r>
    </w:p>
    <w:p>
      <w:pPr>
        <w:spacing w:line="600" w:lineRule="exact"/>
        <w:ind w:firstLine="645"/>
        <w:rPr>
          <w:rFonts w:hint="eastAsia" w:hAnsi="仿宋" w:cs="Times New Roman"/>
        </w:rPr>
      </w:pPr>
      <w:r>
        <w:rPr>
          <w:rFonts w:hint="eastAsia" w:hAnsi="仿宋" w:cs="仿宋"/>
        </w:rPr>
        <w:t>有下列情形之一的，不得申报：</w:t>
      </w:r>
    </w:p>
    <w:p>
      <w:pPr>
        <w:spacing w:line="600" w:lineRule="exact"/>
        <w:ind w:firstLine="645"/>
        <w:rPr>
          <w:rFonts w:hint="eastAsia" w:hAnsi="仿宋" w:cs="Times New Roman"/>
        </w:rPr>
      </w:pPr>
      <w:r>
        <w:rPr>
          <w:rFonts w:hint="eastAsia" w:hAnsi="仿宋" w:cs="仿宋"/>
        </w:rPr>
        <w:t>一、从申报当年往前推算，5年内有过年度考核不合格的，原则上不得申报。</w:t>
      </w:r>
    </w:p>
    <w:p>
      <w:pPr>
        <w:spacing w:line="600" w:lineRule="exact"/>
        <w:ind w:firstLine="645"/>
        <w:rPr>
          <w:rFonts w:hint="eastAsia" w:hAnsi="仿宋" w:cs="Times New Roman"/>
        </w:rPr>
      </w:pPr>
      <w:r>
        <w:rPr>
          <w:rFonts w:hint="eastAsia" w:hAnsi="仿宋" w:cs="仿宋"/>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spacing w:line="600" w:lineRule="exact"/>
        <w:ind w:firstLine="640" w:firstLineChars="200"/>
        <w:rPr>
          <w:rFonts w:hint="eastAsia" w:hAnsi="仿宋" w:cs="Times New Roman"/>
        </w:rPr>
      </w:pPr>
      <w:r>
        <w:rPr>
          <w:rFonts w:hint="eastAsia" w:hAnsi="仿宋" w:cs="仿宋"/>
        </w:rPr>
        <w:t>三、受到违纪违法处分仍在处分影响期内的。</w:t>
      </w:r>
    </w:p>
    <w:p>
      <w:pPr>
        <w:spacing w:line="600" w:lineRule="exact"/>
        <w:ind w:firstLine="612"/>
        <w:rPr>
          <w:rFonts w:hint="eastAsia" w:hAnsi="仿宋" w:cs="Times New Roman"/>
          <w:b/>
          <w:bCs/>
          <w:color w:val="000000"/>
        </w:rPr>
      </w:pPr>
      <w:r>
        <w:rPr>
          <w:rFonts w:hint="eastAsia" w:ascii="黑体" w:hAnsi="仿宋" w:eastAsia="黑体" w:cs="仿宋"/>
          <w:bCs/>
          <w:color w:val="000000"/>
        </w:rPr>
        <w:t>第三条  学历、资历条件</w:t>
      </w:r>
    </w:p>
    <w:p>
      <w:pPr>
        <w:overflowPunct w:val="0"/>
        <w:spacing w:line="600" w:lineRule="exact"/>
        <w:ind w:firstLine="640" w:firstLineChars="200"/>
        <w:rPr>
          <w:rFonts w:hint="eastAsia" w:hAnsi="仿宋" w:cs="Times New Roman"/>
        </w:rPr>
      </w:pPr>
      <w:r>
        <w:rPr>
          <w:rFonts w:hint="eastAsia" w:hAnsi="仿宋" w:cs="仿宋"/>
        </w:rPr>
        <w:t>申报助理工程师专业技术资格，须具备下列学历、资历条件之一：</w:t>
      </w:r>
    </w:p>
    <w:p>
      <w:pPr>
        <w:overflowPunct w:val="0"/>
        <w:spacing w:line="600" w:lineRule="exact"/>
        <w:ind w:firstLine="640" w:firstLineChars="200"/>
        <w:rPr>
          <w:rFonts w:hint="eastAsia" w:hAnsi="仿宋" w:cs="Times New Roman"/>
        </w:rPr>
      </w:pPr>
      <w:r>
        <w:rPr>
          <w:rFonts w:hint="eastAsia" w:hAnsi="仿宋" w:cs="仿宋"/>
        </w:rPr>
        <w:t>一、大学本科学历，从事工程专业技术工作1年以上。</w:t>
      </w:r>
    </w:p>
    <w:p>
      <w:pPr>
        <w:spacing w:line="600" w:lineRule="exact"/>
        <w:ind w:firstLine="612"/>
        <w:rPr>
          <w:rFonts w:hint="eastAsia" w:hAnsi="仿宋" w:cs="Times New Roman"/>
        </w:rPr>
      </w:pPr>
      <w:r>
        <w:rPr>
          <w:rFonts w:hint="eastAsia" w:hAnsi="仿宋" w:cs="仿宋"/>
        </w:rPr>
        <w:t>二、大专学历，从事专业技术资格3年以上。</w:t>
      </w:r>
    </w:p>
    <w:p>
      <w:pPr>
        <w:spacing w:line="600" w:lineRule="exact"/>
        <w:ind w:firstLine="612"/>
        <w:rPr>
          <w:rFonts w:hint="eastAsia" w:hAnsi="仿宋" w:cs="Times New Roman"/>
        </w:rPr>
      </w:pPr>
      <w:r>
        <w:rPr>
          <w:rFonts w:hint="eastAsia" w:hAnsi="仿宋" w:cs="仿宋"/>
        </w:rPr>
        <w:t>三、中专学历，取得员级专业技术资格后从事专业技术工作4年以上；未取得职称，从事专业技术工作7年以上。</w:t>
      </w:r>
    </w:p>
    <w:p>
      <w:pPr>
        <w:spacing w:line="600" w:lineRule="exact"/>
        <w:ind w:firstLine="640" w:firstLineChars="200"/>
        <w:rPr>
          <w:rFonts w:hint="eastAsia" w:hAnsi="仿宋" w:cs="Times New Roman"/>
          <w:color w:val="000000"/>
        </w:rPr>
      </w:pPr>
      <w:r>
        <w:rPr>
          <w:rFonts w:hint="eastAsia" w:hAnsi="仿宋" w:cs="仿宋"/>
          <w:color w:val="000000"/>
        </w:rPr>
        <w:t>如自治区职称制度改革文件对学历资历条件有新规定，从其规定。</w:t>
      </w:r>
    </w:p>
    <w:p>
      <w:pPr>
        <w:spacing w:line="600" w:lineRule="exact"/>
        <w:ind w:firstLine="612"/>
        <w:rPr>
          <w:rFonts w:hint="eastAsia" w:ascii="黑体" w:hAnsi="仿宋" w:eastAsia="黑体" w:cs="仿宋"/>
          <w:bCs/>
          <w:color w:val="000000"/>
        </w:rPr>
      </w:pPr>
      <w:r>
        <w:rPr>
          <w:rFonts w:hint="eastAsia" w:ascii="黑体" w:hAnsi="仿宋" w:eastAsia="黑体" w:cs="仿宋"/>
          <w:bCs/>
          <w:color w:val="000000"/>
        </w:rPr>
        <w:t>第四条  外语和计算机应用能力条件</w:t>
      </w:r>
    </w:p>
    <w:p>
      <w:pPr>
        <w:spacing w:line="600" w:lineRule="exact"/>
        <w:ind w:firstLine="612"/>
        <w:rPr>
          <w:rFonts w:hint="eastAsia" w:hAnsi="仿宋" w:cs="Times New Roman"/>
        </w:rPr>
      </w:pPr>
      <w:r>
        <w:rPr>
          <w:rFonts w:hint="eastAsia" w:hAnsi="仿宋" w:cs="仿宋"/>
        </w:rPr>
        <w:t>对外语和计算机应用能力条件不作要求。</w:t>
      </w:r>
    </w:p>
    <w:p>
      <w:pPr>
        <w:pStyle w:val="8"/>
        <w:numPr>
          <w:ilvl w:val="0"/>
          <w:numId w:val="1"/>
        </w:numPr>
        <w:spacing w:line="600" w:lineRule="exact"/>
        <w:ind w:firstLineChars="0"/>
        <w:rPr>
          <w:rFonts w:hint="eastAsia" w:ascii="黑体" w:hAnsi="仿宋" w:eastAsia="黑体" w:cs="仿宋"/>
          <w:bCs/>
          <w:color w:val="000000"/>
        </w:rPr>
      </w:pPr>
      <w:r>
        <w:rPr>
          <w:rFonts w:hint="eastAsia" w:ascii="黑体" w:hAnsi="仿宋" w:eastAsia="黑体" w:cs="仿宋"/>
          <w:bCs/>
          <w:color w:val="000000"/>
        </w:rPr>
        <w:t xml:space="preserve"> 继续教育条件</w:t>
      </w:r>
    </w:p>
    <w:p>
      <w:pPr>
        <w:spacing w:line="600" w:lineRule="exact"/>
        <w:ind w:firstLine="640" w:firstLineChars="200"/>
        <w:rPr>
          <w:rFonts w:hint="eastAsia" w:hAnsi="仿宋" w:cs="Times New Roman"/>
        </w:rPr>
      </w:pPr>
      <w:r>
        <w:rPr>
          <w:rFonts w:hint="eastAsia" w:hAnsi="仿宋" w:cs="仿宋"/>
        </w:rPr>
        <w:t>完成本部门、行业及政府人力资源和社会保障部门规定的继续教育任务。</w:t>
      </w:r>
    </w:p>
    <w:p>
      <w:pPr>
        <w:spacing w:line="600" w:lineRule="exact"/>
        <w:ind w:firstLine="612"/>
        <w:rPr>
          <w:rFonts w:hint="eastAsia" w:ascii="黑体" w:hAnsi="仿宋" w:eastAsia="黑体" w:cs="仿宋"/>
          <w:bCs/>
          <w:color w:val="000000"/>
        </w:rPr>
      </w:pPr>
      <w:r>
        <w:rPr>
          <w:rFonts w:hint="eastAsia" w:ascii="黑体" w:hAnsi="仿宋" w:eastAsia="黑体" w:cs="仿宋"/>
          <w:bCs/>
          <w:color w:val="000000"/>
        </w:rPr>
        <w:t>第六条  专业技术工作经历（能力）及业绩条件</w:t>
      </w:r>
    </w:p>
    <w:p>
      <w:pPr>
        <w:spacing w:line="600" w:lineRule="exact"/>
        <w:ind w:firstLine="640" w:firstLineChars="200"/>
        <w:rPr>
          <w:rFonts w:hint="eastAsia" w:hAnsi="仿宋" w:cs="Times New Roman"/>
        </w:rPr>
      </w:pPr>
      <w:r>
        <w:rPr>
          <w:rFonts w:hint="eastAsia" w:hAnsi="仿宋" w:cs="仿宋"/>
        </w:rPr>
        <w:t>取得员级专业技术资格(或无职称申报人员从事专业技术工作)以来，具备下列条件之一：</w:t>
      </w:r>
      <w:r>
        <w:rPr>
          <w:rFonts w:hint="eastAsia" w:hAnsi="仿宋" w:cs="Times New Roman"/>
        </w:rPr>
        <w:br w:type="textWrapping"/>
      </w:r>
      <w:r>
        <w:rPr>
          <w:rFonts w:hint="eastAsia" w:hAnsi="仿宋" w:cs="仿宋"/>
        </w:rPr>
        <w:t xml:space="preserve">    一、参与政府部门的科研项目、课题或单位下达的科研项目等。</w:t>
      </w:r>
    </w:p>
    <w:p>
      <w:pPr>
        <w:spacing w:line="600" w:lineRule="exact"/>
        <w:ind w:firstLine="640" w:firstLineChars="200"/>
        <w:rPr>
          <w:rFonts w:hint="eastAsia" w:hAnsi="仿宋" w:cs="Times New Roman"/>
        </w:rPr>
      </w:pPr>
      <w:r>
        <w:rPr>
          <w:rFonts w:hint="eastAsia" w:hAnsi="仿宋" w:cs="仿宋"/>
        </w:rPr>
        <w:t>二、参与制定、修订行业（地方）规划、标准、规程、规范等，或参与编制本单位的发展规划、项目计划、技术管理规程等。</w:t>
      </w:r>
    </w:p>
    <w:p>
      <w:pPr>
        <w:spacing w:line="600" w:lineRule="exact"/>
        <w:ind w:firstLine="640" w:firstLineChars="200"/>
        <w:rPr>
          <w:rFonts w:hint="eastAsia" w:hAnsi="仿宋" w:cs="Times New Roman"/>
        </w:rPr>
      </w:pPr>
      <w:r>
        <w:rPr>
          <w:rFonts w:hint="eastAsia" w:hAnsi="仿宋" w:cs="仿宋"/>
        </w:rPr>
        <w:t>三、参与企业的新技术、新产品、新工艺、新材料、新能源等的研发和推广应用等工作。</w:t>
      </w:r>
    </w:p>
    <w:p>
      <w:pPr>
        <w:spacing w:line="600" w:lineRule="exact"/>
        <w:ind w:firstLine="640" w:firstLineChars="200"/>
        <w:rPr>
          <w:rFonts w:hint="eastAsia" w:hAnsi="仿宋" w:cs="Times New Roman"/>
        </w:rPr>
      </w:pPr>
      <w:r>
        <w:rPr>
          <w:rFonts w:hint="eastAsia" w:hAnsi="仿宋" w:cs="仿宋"/>
        </w:rPr>
        <w:t>四、参与企业重要设备或网络系统的安装、调试、维护、改造、管理等工作，实现设备或系统的正常运行。</w:t>
      </w:r>
    </w:p>
    <w:p>
      <w:pPr>
        <w:spacing w:line="600" w:lineRule="exact"/>
        <w:ind w:firstLine="640" w:firstLineChars="200"/>
        <w:rPr>
          <w:rFonts w:hint="eastAsia" w:hAnsi="仿宋" w:cs="Times New Roman"/>
        </w:rPr>
      </w:pPr>
      <w:r>
        <w:rPr>
          <w:rFonts w:hint="eastAsia" w:hAnsi="仿宋" w:cs="仿宋"/>
        </w:rPr>
        <w:t>五、积极履行岗位职责，独立解决一般性技术问题，成绩突出。</w:t>
      </w:r>
    </w:p>
    <w:p>
      <w:pPr>
        <w:spacing w:line="600" w:lineRule="exact"/>
        <w:ind w:firstLine="612"/>
        <w:rPr>
          <w:rFonts w:hint="eastAsia" w:ascii="黑体" w:hAnsi="仿宋" w:eastAsia="黑体" w:cs="仿宋"/>
          <w:bCs/>
          <w:color w:val="000000"/>
        </w:rPr>
      </w:pPr>
      <w:r>
        <w:rPr>
          <w:rFonts w:hint="eastAsia" w:ascii="黑体" w:hAnsi="仿宋" w:eastAsia="黑体" w:cs="仿宋"/>
          <w:bCs/>
          <w:color w:val="000000"/>
        </w:rPr>
        <w:t>第七条  论文、著作条件</w:t>
      </w:r>
    </w:p>
    <w:p>
      <w:pPr>
        <w:spacing w:line="600" w:lineRule="exact"/>
        <w:ind w:firstLine="648"/>
        <w:rPr>
          <w:rFonts w:hint="eastAsia" w:hAnsi="仿宋" w:cs="Times New Roman"/>
        </w:rPr>
      </w:pPr>
      <w:r>
        <w:rPr>
          <w:rFonts w:hint="eastAsia" w:hAnsi="仿宋" w:cs="仿宋"/>
        </w:rPr>
        <w:t>结合工作实践，独立撰写专业论文、专项调查（分析）报告、项目立项研究报告、专业技术工作报告、技术总结等1篇以上，字数2000字以上。</w:t>
      </w:r>
    </w:p>
    <w:p>
      <w:pPr>
        <w:spacing w:line="600" w:lineRule="exact"/>
        <w:ind w:firstLine="636" w:firstLineChars="199"/>
        <w:rPr>
          <w:rFonts w:hint="eastAsia" w:ascii="黑体" w:hAnsi="仿宋" w:eastAsia="黑体" w:cs="仿宋"/>
          <w:bCs/>
          <w:color w:val="000000"/>
        </w:rPr>
      </w:pPr>
      <w:r>
        <w:rPr>
          <w:rFonts w:hint="eastAsia" w:ascii="黑体" w:hAnsi="仿宋" w:eastAsia="黑体" w:cs="仿宋"/>
          <w:bCs/>
          <w:color w:val="000000"/>
        </w:rPr>
        <w:t>第八条  附则</w:t>
      </w:r>
    </w:p>
    <w:p>
      <w:pPr>
        <w:spacing w:line="600" w:lineRule="exact"/>
        <w:ind w:firstLine="636" w:firstLineChars="199"/>
        <w:rPr>
          <w:rFonts w:hint="eastAsia" w:hAnsi="仿宋" w:cs="Times New Roman"/>
        </w:rPr>
      </w:pPr>
      <w:r>
        <w:rPr>
          <w:rFonts w:hint="eastAsia" w:hAnsi="仿宋" w:cs="仿宋"/>
          <w:kern w:val="0"/>
        </w:rPr>
        <w:t>一、凡是符合上述条件规定，可申报助理工程师专业技术资格，并按规定程序申报。</w:t>
      </w:r>
    </w:p>
    <w:p>
      <w:pPr>
        <w:spacing w:line="600" w:lineRule="exact"/>
        <w:ind w:firstLine="640" w:firstLineChars="200"/>
        <w:rPr>
          <w:rFonts w:hint="eastAsia" w:hAnsi="仿宋" w:cs="Times New Roman"/>
        </w:rPr>
      </w:pPr>
      <w:r>
        <w:rPr>
          <w:rFonts w:hint="eastAsia" w:hAnsi="仿宋" w:cs="仿宋"/>
        </w:rPr>
        <w:t>二、本条件中涉及的“以上”均含本级（数）。如：1年以上含1年。</w:t>
      </w:r>
    </w:p>
    <w:p>
      <w:pPr>
        <w:spacing w:line="600" w:lineRule="exact"/>
        <w:ind w:firstLine="640" w:firstLineChars="200"/>
        <w:rPr>
          <w:rFonts w:hint="eastAsia" w:hAnsi="仿宋" w:cs="Times New Roman"/>
        </w:rPr>
      </w:pPr>
      <w:r>
        <w:rPr>
          <w:rFonts w:hint="eastAsia" w:hAnsi="仿宋" w:cs="仿宋"/>
        </w:rPr>
        <w:t>三、本条件由自治区职改办、自治区工程技术经济专业职改办按职责分工负责解释。</w:t>
      </w:r>
    </w:p>
    <w:p>
      <w:pPr>
        <w:pStyle w:val="2"/>
        <w:spacing w:line="600" w:lineRule="exact"/>
        <w:ind w:left="102" w:leftChars="32" w:firstLine="640"/>
        <w:jc w:val="left"/>
        <w:rPr>
          <w:rFonts w:hint="eastAsia" w:ascii="仿宋_GB2312" w:hAnsi="仿宋" w:eastAsia="仿宋_GB2312" w:cs="Times New Roman"/>
          <w:sz w:val="32"/>
          <w:szCs w:val="32"/>
        </w:rPr>
      </w:pPr>
      <w:r>
        <w:rPr>
          <w:rFonts w:hint="eastAsia" w:ascii="仿宋_GB2312" w:hAnsi="仿宋" w:eastAsia="仿宋_GB2312" w:cs="仿宋"/>
          <w:sz w:val="32"/>
          <w:szCs w:val="32"/>
        </w:rPr>
        <w:t>四、本条件自发布之日起执行。其他未尽事宜按自治区职改办现行的有关规定办理。</w:t>
      </w:r>
    </w:p>
    <w:p>
      <w:pPr>
        <w:spacing w:line="600" w:lineRule="exact"/>
        <w:rPr>
          <w:rFonts w:hint="eastAsia" w:hAnsi="仿宋" w:cs="Times New Roman"/>
        </w:rPr>
      </w:pPr>
    </w:p>
    <w:p>
      <w:pPr>
        <w:spacing w:line="600" w:lineRule="exact"/>
        <w:jc w:val="left"/>
        <w:rPr>
          <w:rFonts w:hint="eastAsia" w:hAnsi="仿宋" w:cs="Times New Roman"/>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sectPr>
      <w:footerReference r:id="rId3" w:type="default"/>
      <w:pgSz w:w="11906" w:h="16838"/>
      <w:pgMar w:top="1418" w:right="1418" w:bottom="1134"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 PAGE   \* MERGEFORMAT </w:instrText>
    </w:r>
    <w:r>
      <w:fldChar w:fldCharType="separate"/>
    </w:r>
    <w:r>
      <w:rPr>
        <w:lang w:val="zh-CN"/>
      </w:rPr>
      <w:t>2</w:t>
    </w:r>
    <w: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5C6F"/>
    <w:multiLevelType w:val="multilevel"/>
    <w:tmpl w:val="3D145C6F"/>
    <w:lvl w:ilvl="0" w:tentative="0">
      <w:start w:val="5"/>
      <w:numFmt w:val="japaneseCounting"/>
      <w:lvlText w:val="第%1条"/>
      <w:lvlJc w:val="left"/>
      <w:pPr>
        <w:ind w:left="1692" w:hanging="1080"/>
      </w:pPr>
      <w:rPr>
        <w:rFonts w:hint="default"/>
      </w:rPr>
    </w:lvl>
    <w:lvl w:ilvl="1" w:tentative="0">
      <w:start w:val="1"/>
      <w:numFmt w:val="lowerLetter"/>
      <w:lvlText w:val="%2)"/>
      <w:lvlJc w:val="left"/>
      <w:pPr>
        <w:ind w:left="1452" w:hanging="420"/>
      </w:pPr>
    </w:lvl>
    <w:lvl w:ilvl="2" w:tentative="0">
      <w:start w:val="1"/>
      <w:numFmt w:val="lowerRoman"/>
      <w:lvlText w:val="%3."/>
      <w:lvlJc w:val="right"/>
      <w:pPr>
        <w:ind w:left="1872" w:hanging="420"/>
      </w:pPr>
    </w:lvl>
    <w:lvl w:ilvl="3" w:tentative="0">
      <w:start w:val="1"/>
      <w:numFmt w:val="decimal"/>
      <w:lvlText w:val="%4."/>
      <w:lvlJc w:val="left"/>
      <w:pPr>
        <w:ind w:left="2292" w:hanging="420"/>
      </w:pPr>
    </w:lvl>
    <w:lvl w:ilvl="4" w:tentative="0">
      <w:start w:val="1"/>
      <w:numFmt w:val="lowerLetter"/>
      <w:lvlText w:val="%5)"/>
      <w:lvlJc w:val="left"/>
      <w:pPr>
        <w:ind w:left="2712" w:hanging="420"/>
      </w:pPr>
    </w:lvl>
    <w:lvl w:ilvl="5" w:tentative="0">
      <w:start w:val="1"/>
      <w:numFmt w:val="lowerRoman"/>
      <w:lvlText w:val="%6."/>
      <w:lvlJc w:val="right"/>
      <w:pPr>
        <w:ind w:left="3132" w:hanging="420"/>
      </w:pPr>
    </w:lvl>
    <w:lvl w:ilvl="6" w:tentative="0">
      <w:start w:val="1"/>
      <w:numFmt w:val="decimal"/>
      <w:lvlText w:val="%7."/>
      <w:lvlJc w:val="left"/>
      <w:pPr>
        <w:ind w:left="3552" w:hanging="420"/>
      </w:pPr>
    </w:lvl>
    <w:lvl w:ilvl="7" w:tentative="0">
      <w:start w:val="1"/>
      <w:numFmt w:val="lowerLetter"/>
      <w:lvlText w:val="%8)"/>
      <w:lvlJc w:val="left"/>
      <w:pPr>
        <w:ind w:left="3972" w:hanging="420"/>
      </w:pPr>
    </w:lvl>
    <w:lvl w:ilvl="8" w:tentative="0">
      <w:start w:val="1"/>
      <w:numFmt w:val="lowerRoman"/>
      <w:lvlText w:val="%9."/>
      <w:lvlJc w:val="right"/>
      <w:pPr>
        <w:ind w:left="43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EF"/>
    <w:rsid w:val="00007BF3"/>
    <w:rsid w:val="00056BEB"/>
    <w:rsid w:val="00067892"/>
    <w:rsid w:val="0007262B"/>
    <w:rsid w:val="000752DF"/>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F4F0B"/>
    <w:rsid w:val="00206531"/>
    <w:rsid w:val="0022081D"/>
    <w:rsid w:val="00275CA2"/>
    <w:rsid w:val="002763BB"/>
    <w:rsid w:val="002827EF"/>
    <w:rsid w:val="00295151"/>
    <w:rsid w:val="002A266D"/>
    <w:rsid w:val="002A6CFB"/>
    <w:rsid w:val="002A7DCE"/>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07EAF"/>
    <w:rsid w:val="0051036F"/>
    <w:rsid w:val="00543DCC"/>
    <w:rsid w:val="005650FC"/>
    <w:rsid w:val="00594072"/>
    <w:rsid w:val="005B4AED"/>
    <w:rsid w:val="005B6977"/>
    <w:rsid w:val="005D2DB5"/>
    <w:rsid w:val="005D4C5E"/>
    <w:rsid w:val="00610E6F"/>
    <w:rsid w:val="006627CE"/>
    <w:rsid w:val="00680910"/>
    <w:rsid w:val="0068152D"/>
    <w:rsid w:val="00693C45"/>
    <w:rsid w:val="00706033"/>
    <w:rsid w:val="00707D70"/>
    <w:rsid w:val="00711D4F"/>
    <w:rsid w:val="00725BAB"/>
    <w:rsid w:val="00742D16"/>
    <w:rsid w:val="00745BE5"/>
    <w:rsid w:val="007544E8"/>
    <w:rsid w:val="007C1EEA"/>
    <w:rsid w:val="007D1A85"/>
    <w:rsid w:val="007D2CF0"/>
    <w:rsid w:val="007E41B9"/>
    <w:rsid w:val="007E7DAA"/>
    <w:rsid w:val="007F6831"/>
    <w:rsid w:val="008D2F51"/>
    <w:rsid w:val="008E55F3"/>
    <w:rsid w:val="008F27EF"/>
    <w:rsid w:val="00903C64"/>
    <w:rsid w:val="00926977"/>
    <w:rsid w:val="00940EA1"/>
    <w:rsid w:val="00952896"/>
    <w:rsid w:val="00963D30"/>
    <w:rsid w:val="0096532D"/>
    <w:rsid w:val="009823A6"/>
    <w:rsid w:val="0098341A"/>
    <w:rsid w:val="009A0A9C"/>
    <w:rsid w:val="009C17FA"/>
    <w:rsid w:val="009D5E8B"/>
    <w:rsid w:val="009E366A"/>
    <w:rsid w:val="00A01950"/>
    <w:rsid w:val="00A554D0"/>
    <w:rsid w:val="00A62B2B"/>
    <w:rsid w:val="00A8773C"/>
    <w:rsid w:val="00AA1058"/>
    <w:rsid w:val="00AA1B05"/>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D00446"/>
    <w:rsid w:val="00D52C99"/>
    <w:rsid w:val="00D634AD"/>
    <w:rsid w:val="00D73DAC"/>
    <w:rsid w:val="00D830E2"/>
    <w:rsid w:val="00D9565D"/>
    <w:rsid w:val="00DB0CEC"/>
    <w:rsid w:val="00DF1B7C"/>
    <w:rsid w:val="00DF30FE"/>
    <w:rsid w:val="00E1786B"/>
    <w:rsid w:val="00E36916"/>
    <w:rsid w:val="00E64D42"/>
    <w:rsid w:val="00E8188C"/>
    <w:rsid w:val="00E91AE1"/>
    <w:rsid w:val="00EE6746"/>
    <w:rsid w:val="00F62E60"/>
    <w:rsid w:val="00F76967"/>
    <w:rsid w:val="00F8637F"/>
    <w:rsid w:val="00FB1B06"/>
    <w:rsid w:val="00FB6894"/>
    <w:rsid w:val="00FD57C1"/>
    <w:rsid w:val="00FF65FF"/>
    <w:rsid w:val="085869AC"/>
    <w:rsid w:val="0BBD15AD"/>
    <w:rsid w:val="0C42488C"/>
    <w:rsid w:val="58782719"/>
    <w:rsid w:val="72EB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qFormat/>
    <w:uiPriority w:val="99"/>
    <w:pPr>
      <w:ind w:firstLine="200" w:firstLineChars="200"/>
    </w:pPr>
    <w:rPr>
      <w:rFonts w:ascii="宋体" w:hAnsi="Courier New" w:eastAsia="宋体" w:cs="宋体"/>
      <w:sz w:val="21"/>
      <w:szCs w:val="21"/>
    </w:rPr>
  </w:style>
  <w:style w:type="paragraph" w:styleId="3">
    <w:name w:val="footer"/>
    <w:basedOn w:val="1"/>
    <w:link w:val="7"/>
    <w:qFormat/>
    <w:uiPriority w:val="99"/>
    <w:pPr>
      <w:tabs>
        <w:tab w:val="center" w:pos="4153"/>
        <w:tab w:val="right" w:pos="8306"/>
      </w:tabs>
      <w:snapToGrid w:val="0"/>
      <w:jc w:val="left"/>
    </w:pPr>
    <w:rPr>
      <w:sz w:val="18"/>
      <w:szCs w:val="18"/>
    </w:rPr>
  </w:style>
  <w:style w:type="character" w:customStyle="1" w:styleId="6">
    <w:name w:val="纯文本 Char"/>
    <w:basedOn w:val="5"/>
    <w:link w:val="2"/>
    <w:qFormat/>
    <w:uiPriority w:val="99"/>
    <w:rPr>
      <w:rFonts w:ascii="宋体" w:hAnsi="Courier New" w:eastAsia="宋体" w:cs="宋体"/>
      <w:szCs w:val="21"/>
    </w:rPr>
  </w:style>
  <w:style w:type="character" w:customStyle="1" w:styleId="7">
    <w:name w:val="页脚 Char"/>
    <w:basedOn w:val="5"/>
    <w:link w:val="3"/>
    <w:qFormat/>
    <w:uiPriority w:val="99"/>
    <w:rPr>
      <w:rFonts w:ascii="仿宋_GB2312" w:hAnsi="Times New Roman" w:eastAsia="仿宋_GB2312" w:cs="仿宋_GB231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A1F1D-7539-439E-A550-72246881BDE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200</Words>
  <Characters>1146</Characters>
  <Lines>9</Lines>
  <Paragraphs>2</Paragraphs>
  <TotalTime>6</TotalTime>
  <ScaleCrop>false</ScaleCrop>
  <LinksUpToDate>false</LinksUpToDate>
  <CharactersWithSpaces>1344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2018-05-31T12:27:00Z</dcterms:created>
  <dc:creator>沙肖岩</dc:creator>
  <cp:lastModifiedBy>admin2211</cp:lastModifiedBy>
  <dcterms:modified xsi:type="dcterms:W3CDTF">2019-08-05T01:49:20Z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